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501"/>
        <w:gridCol w:w="1142"/>
        <w:gridCol w:w="1588"/>
        <w:gridCol w:w="2088"/>
        <w:gridCol w:w="2171"/>
        <w:gridCol w:w="2278"/>
        <w:gridCol w:w="291"/>
        <w:gridCol w:w="647"/>
        <w:gridCol w:w="1417"/>
        <w:gridCol w:w="1485"/>
        <w:gridCol w:w="960"/>
        <w:gridCol w:w="1405"/>
        <w:gridCol w:w="1405"/>
        <w:gridCol w:w="1405"/>
        <w:gridCol w:w="1414"/>
      </w:tblGrid>
      <w:tr w:rsidR="00466E92" w:rsidRPr="00466E92" w14:paraId="4F17DC2F" w14:textId="77777777" w:rsidTr="00F61EB2">
        <w:trPr>
          <w:gridAfter w:val="4"/>
          <w:wAfter w:w="5629" w:type="dxa"/>
          <w:trHeight w:val="1672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79A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14:paraId="2BF0E484" w14:textId="77777777" w:rsidTr="00E3023F">
        <w:trPr>
          <w:gridAfter w:val="4"/>
          <w:wAfter w:w="5629" w:type="dxa"/>
          <w:trHeight w:val="2130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247" w14:textId="6617F01C" w:rsidR="00F61EB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>اپیدمیولوژی کاربردی در مدارس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کارشناسی بهداشت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سال تحصیلی 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140</w:t>
            </w:r>
            <w:r w:rsidR="00DE6264">
              <w:rPr>
                <w:rFonts w:ascii="Arial" w:eastAsia="Times New Roman" w:hAnsi="Arial" w:cs="B Traffic" w:hint="cs"/>
                <w:b/>
                <w:bCs/>
                <w:rtl/>
              </w:rPr>
              <w:t>5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-140</w:t>
            </w:r>
            <w:r w:rsidR="00DE6264">
              <w:rPr>
                <w:rFonts w:ascii="Arial" w:eastAsia="Times New Roman" w:hAnsi="Arial" w:cs="B Traffic" w:hint="cs"/>
                <w:b/>
                <w:bCs/>
                <w:rtl/>
              </w:rPr>
              <w:t>4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ترم</w:t>
            </w:r>
            <w:r w:rsidR="00DE6264">
              <w:rPr>
                <w:rFonts w:ascii="Arial" w:eastAsia="Times New Roman" w:hAnsi="Arial" w:cs="B Traffic" w:hint="cs"/>
                <w:b/>
                <w:bCs/>
                <w:rtl/>
              </w:rPr>
              <w:t>بهمن</w:t>
            </w:r>
            <w:r w:rsidR="00516551"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 ماه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DE6264">
              <w:rPr>
                <w:rFonts w:ascii="Arial" w:eastAsia="Times New Roman" w:hAnsi="Arial" w:cs="B Traffic" w:hint="cs"/>
                <w:b/>
                <w:bCs/>
                <w:rtl/>
              </w:rPr>
              <w:t>دوشنبه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>10-8</w:t>
            </w:r>
          </w:p>
          <w:p w14:paraId="42AE188E" w14:textId="78B3E434" w:rsidR="00466E92" w:rsidRPr="00466E9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14:paraId="20A0EAC1" w14:textId="77777777" w:rsidTr="00E3023F">
        <w:trPr>
          <w:gridAfter w:val="4"/>
          <w:wAfter w:w="5629" w:type="dxa"/>
          <w:trHeight w:val="105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B6921" w14:textId="4F5F8C1D" w:rsidR="00863AAC" w:rsidRPr="00863AAC" w:rsidRDefault="00466E92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7D766B" w:rsidRPr="00B52F4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آشنا شدن دانشجويان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با تاریخچه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اصول ومبانی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اصطلاحات رايج در اپيدميولوژي و پزشكي پشگيري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علل ايجاد و چگونگي انتشار بيماريها در جامعه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كسب اطلاعات اختصاصي راجع به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 و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بعضي از بيماريهاي شايع كشور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14:paraId="22C159A8" w14:textId="528D37FE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تعريف، تاريخچه واساس شكل گيري علم 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،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>دامنه فعاليت</w:t>
            </w:r>
            <w:r w:rsidRPr="00B52F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را بیان کنند.</w:t>
            </w:r>
          </w:p>
          <w:p w14:paraId="6EB936CE" w14:textId="7239536F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مفاهيم خاص وكاربردي اپيدميولوژي (اپيدمي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اندميك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اسپوراديك)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دهند.</w:t>
            </w:r>
            <w:r w:rsidRPr="007D766B">
              <w:rPr>
                <w:rFonts w:asciiTheme="majorBidi" w:hAnsiTheme="majorBidi" w:cs="B Nazanin" w:hint="cs"/>
                <w:sz w:val="28"/>
                <w:szCs w:val="28"/>
                <w:rtl/>
              </w:rPr>
              <w:t>.</w:t>
            </w:r>
          </w:p>
          <w:p w14:paraId="527875B2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مفهوم گذر اپيدميولوژيك را بيان كند. </w:t>
            </w:r>
          </w:p>
          <w:p w14:paraId="72481297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 xml:space="preserve">عوامل بيماريزاي فيزيكي ، شيميايي و بيولوژيك 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>(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>عوامل ميزبان :عوامل محيط فيزيكي و شيميايي بيولوژيك و اجتماعي</w:t>
            </w:r>
            <w:r w:rsidRPr="00B52F4E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. </w:t>
            </w:r>
          </w:p>
          <w:p w14:paraId="51FE1E65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مدلهاي اپيدميولوژيك بررسي بيماريها را توضيح دهد.</w:t>
            </w:r>
          </w:p>
          <w:p w14:paraId="4BF2F210" w14:textId="77777777" w:rsid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شاخصها و ميزانهاي بهداشتي وكاربرد آن دراپيدميولوژي. بررسي منابع اطلاعاتي در بهداشت را شرح </w:t>
            </w: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دهند.</w:t>
            </w:r>
          </w:p>
          <w:p w14:paraId="6C90C80E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مفهوم سلامت وبيماري – سيرطبيعي بيماري – پيشگيري وسطوح آن را شرح دهند</w:t>
            </w:r>
          </w:p>
          <w:p w14:paraId="031B4E30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- پديده كوه يخ در بيماري ها را شرح دهند.</w:t>
            </w:r>
          </w:p>
          <w:p w14:paraId="696CD1EE" w14:textId="77777777" w:rsid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غربالگري بيماري ها را توضيح دهند.</w:t>
            </w:r>
          </w:p>
          <w:p w14:paraId="564C201A" w14:textId="1DF209C0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7D766B">
              <w:rPr>
                <w:rFonts w:asciiTheme="majorBidi" w:hAnsiTheme="majorBidi" w:cs="B Nazanin"/>
                <w:sz w:val="28"/>
                <w:szCs w:val="28"/>
                <w:rtl/>
              </w:rPr>
              <w:t>مفهوم ارتباط و عليت در اپيدميولوژي.</w:t>
            </w:r>
          </w:p>
          <w:p w14:paraId="3B35F912" w14:textId="3276AEE4" w:rsidR="00466E92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مفهوم اپیدمیولوژی تحلیلی و نقش آن را در بررسی علیت بیماری تو ضیح دهد.</w:t>
            </w:r>
          </w:p>
        </w:tc>
      </w:tr>
      <w:tr w:rsidR="00466E92" w:rsidRPr="00466E92" w14:paraId="63943AA9" w14:textId="77777777" w:rsidTr="00516551">
        <w:trPr>
          <w:gridAfter w:val="4"/>
          <w:wAfter w:w="5629" w:type="dxa"/>
          <w:trHeight w:val="48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EF7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lastRenderedPageBreak/>
              <w:t>نام مدرس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40E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D43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474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8A0F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D954C12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BA1F9D" w:rsidRPr="00466E92" w14:paraId="05C341C6" w14:textId="77777777" w:rsidTr="00516551">
        <w:trPr>
          <w:gridAfter w:val="4"/>
          <w:wAfter w:w="5629" w:type="dxa"/>
          <w:trHeight w:val="882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9B436E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76AB3B" w14:textId="13142FE3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 پرسش و پاسخ</w:t>
            </w:r>
            <w:r w:rsidR="00DE626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(بصورت مجازی)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3A8DC" w14:textId="77777777" w:rsidR="00BA1F9D" w:rsidRPr="00ED4645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ED4645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AC3250" w14:textId="15174F2E" w:rsidR="00BA1F9D" w:rsidRPr="00580B10" w:rsidRDefault="00ED4645" w:rsidP="002C4E4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تاریخچه، سیر تعاریف،اهداف، دستاورد ها و کاربرد های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12FDE7" w14:textId="0A5BD555" w:rsidR="00BA1F9D" w:rsidRPr="006831A2" w:rsidRDefault="00516551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/0</w:t>
            </w:r>
            <w:r w:rsidR="00DE6264">
              <w:rPr>
                <w:rFonts w:ascii="Arial" w:eastAsia="Times New Roman" w:hAnsi="Arial" w:cs="B Nazanin" w:hint="cs"/>
                <w:rtl/>
              </w:rPr>
              <w:t>1</w:t>
            </w:r>
            <w:r>
              <w:rPr>
                <w:rFonts w:ascii="Arial" w:eastAsia="Times New Roman" w:hAnsi="Arial" w:cs="B Nazanin" w:hint="cs"/>
                <w:rtl/>
              </w:rPr>
              <w:t>/140</w:t>
            </w:r>
            <w:r w:rsidR="00DE6264">
              <w:rPr>
                <w:rFonts w:ascii="Arial" w:eastAsia="Times New Roman" w:hAnsi="Arial" w:cs="B Nazanin" w:hint="cs"/>
                <w:rtl/>
              </w:rPr>
              <w:t>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A374C3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516551" w:rsidRPr="00466E92" w14:paraId="2AE3544D" w14:textId="77777777" w:rsidTr="00516551">
        <w:trPr>
          <w:gridAfter w:val="4"/>
          <w:wAfter w:w="5629" w:type="dxa"/>
          <w:trHeight w:val="85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BEEFBE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00294F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3D9B03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DD12F" w14:textId="1A76908A" w:rsidR="00516551" w:rsidRPr="00580B10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اصطلاحات رایج در اپ</w:t>
            </w: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ی</w:t>
            </w: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دمیولوژی</w:t>
            </w: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 xml:space="preserve">، </w:t>
            </w: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سلامت، محیط و مفهوم گذار اپیدمیولوژیک</w:t>
            </w:r>
          </w:p>
          <w:p w14:paraId="3170775D" w14:textId="7F1EF234" w:rsidR="00516551" w:rsidRPr="00580B10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مدل های مختلف بیماری در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A00A3E" w14:textId="13BDBCF3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/0</w:t>
            </w:r>
            <w:r w:rsidR="00DE6264">
              <w:rPr>
                <w:rFonts w:ascii="Arial" w:eastAsia="Times New Roman" w:hAnsi="Arial" w:cs="B Nazanin" w:hint="cs"/>
                <w:rtl/>
              </w:rPr>
              <w:t>1</w:t>
            </w:r>
            <w:r>
              <w:rPr>
                <w:rFonts w:ascii="Arial" w:eastAsia="Times New Roman" w:hAnsi="Arial" w:cs="B Nazanin" w:hint="cs"/>
                <w:rtl/>
              </w:rPr>
              <w:t>/140</w:t>
            </w:r>
            <w:r w:rsidR="00DE6264">
              <w:rPr>
                <w:rFonts w:ascii="Arial" w:eastAsia="Times New Roman" w:hAnsi="Arial" w:cs="B Nazanin" w:hint="cs"/>
                <w:rtl/>
              </w:rPr>
              <w:t>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B5D61A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516551" w:rsidRPr="00466E92" w14:paraId="12862D33" w14:textId="77777777" w:rsidTr="00516551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5D1EE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F38E00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9B5744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6F555D" w14:textId="77777777" w:rsidR="00516551" w:rsidRPr="00516551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</w:pPr>
            <w:r w:rsidRPr="00516551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عوامل بيماريزاي فيزيكي ، شيميايي و بيولوژيك سیر طبیعی بیماری و سطوح پیشگیری</w:t>
            </w:r>
          </w:p>
          <w:p w14:paraId="276F8733" w14:textId="7D2ABCD5" w:rsidR="00516551" w:rsidRPr="002C4E4E" w:rsidRDefault="00516551" w:rsidP="00516551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16551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26B8B" w14:textId="70B66361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/0</w:t>
            </w:r>
            <w:r w:rsidR="00DE6264">
              <w:rPr>
                <w:rFonts w:ascii="Arial" w:eastAsia="Times New Roman" w:hAnsi="Arial" w:cs="B Nazanin" w:hint="cs"/>
                <w:rtl/>
              </w:rPr>
              <w:t>1</w:t>
            </w:r>
            <w:r>
              <w:rPr>
                <w:rFonts w:ascii="Arial" w:eastAsia="Times New Roman" w:hAnsi="Arial" w:cs="B Nazanin" w:hint="cs"/>
                <w:rtl/>
              </w:rPr>
              <w:t>/140</w:t>
            </w:r>
            <w:r w:rsidR="00DE6264">
              <w:rPr>
                <w:rFonts w:ascii="Arial" w:eastAsia="Times New Roman" w:hAnsi="Arial" w:cs="B Nazanin" w:hint="cs"/>
                <w:rtl/>
              </w:rPr>
              <w:t>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4A04A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DE6264" w:rsidRPr="00466E92" w14:paraId="5EBD28F1" w14:textId="77777777" w:rsidTr="00662560">
        <w:trPr>
          <w:gridAfter w:val="4"/>
          <w:wAfter w:w="5629" w:type="dxa"/>
          <w:trHeight w:val="49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80A9CF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2FF5174" w14:textId="6E9A0129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E48E28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EB7417" w14:textId="31585A1E" w:rsidR="00DE6264" w:rsidRPr="00580B10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انواع سطوح پیشگیری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D177E9" w14:textId="08054894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/01/1405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21284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DE6264" w:rsidRPr="00466E92" w14:paraId="08AF6939" w14:textId="77777777" w:rsidTr="00662560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8A156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6B2166B" w14:textId="10E8ADBB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2C6DD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72A57F" w14:textId="2E409ED5" w:rsidR="00DE6264" w:rsidRPr="00580B10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43B933" w14:textId="1EC1C05A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24CD59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14:paraId="52E6A9FF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14:paraId="76146D3B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DE6264" w:rsidRPr="00466E92" w14:paraId="58365967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645BB1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11E60AE" w14:textId="286A196D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FC2B6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2228F2" w14:textId="17043BEE" w:rsidR="00DE6264" w:rsidRPr="00580B10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منابع اطلاعاتی و جمع آوری اطلاعات در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89B843" w14:textId="47B9181B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6EAED7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DE6264" w:rsidRPr="00466E92" w14:paraId="393231E2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0A274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1351467" w14:textId="7EFBBF4C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CB293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040D1E" w14:textId="3C55E41A" w:rsidR="00DE6264" w:rsidRPr="002C4E4E" w:rsidRDefault="00DE6264" w:rsidP="00DE6264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اپیدمیولوژی توصیفی و اپیدمیولوژی تحلیلی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7FCC3" w14:textId="4F980EE4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28758B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DE6264" w:rsidRPr="00466E92" w14:paraId="67094D5F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B08384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FB245AD" w14:textId="22BF0761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27FF2D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A3922F" w14:textId="62A4AA67" w:rsidR="00DE6264" w:rsidRPr="00E3607B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مطالعه مقطعی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2BE0AD" w14:textId="6A1BB2A0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73140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DE6264" w:rsidRPr="00466E92" w14:paraId="3B2F9980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EA2FB8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5358980" w14:textId="083C27BC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8BD74" w14:textId="54B5C0FA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B8EFB2" w14:textId="1B521550" w:rsidR="00DE6264" w:rsidRPr="00E3607B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مطالعه اکولوژی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0505D" w14:textId="02E4522D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7CB50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DE6264" w:rsidRPr="00466E92" w14:paraId="5BBF054A" w14:textId="77777777" w:rsidTr="00662560">
        <w:trPr>
          <w:gridAfter w:val="4"/>
          <w:wAfter w:w="5629" w:type="dxa"/>
          <w:trHeight w:val="674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08A62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769A4FE" w14:textId="02068C69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BAAD9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2B6338" w14:textId="09B68F7D" w:rsidR="00DE6264" w:rsidRPr="00E3607B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مطالعات مورد شاهدی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A2EA9" w14:textId="5940CEC6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2D08FF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DE6264" w:rsidRPr="00466E92" w14:paraId="4762D26D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ABC07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A4C31B5" w14:textId="0B481D66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BCC6F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1DF5B0" w14:textId="6536A564" w:rsidR="00DE6264" w:rsidRPr="00580B10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 xml:space="preserve">مطالعات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همگروهی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674C62" w14:textId="34C8B49B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EA3793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DE6264" w:rsidRPr="00466E92" w14:paraId="5FB3B724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2F7923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9470FE0" w14:textId="5992EEDE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8EE40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64B5EC" w14:textId="3F4FE981" w:rsidR="00DE6264" w:rsidRPr="005E65B1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مطالعه تجربی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 xml:space="preserve"> ،  </w:t>
            </w: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 xml:space="preserve">مطالعات مداخله اي </w:t>
            </w:r>
          </w:p>
          <w:p w14:paraId="71720587" w14:textId="48A3CCD1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</w:rPr>
              <w:t>Randomized Clinical Trial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4AFFF5" w14:textId="3915A437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4A33D7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DE6264" w:rsidRPr="00466E92" w14:paraId="23C58D6C" w14:textId="77777777" w:rsidTr="0066256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5B979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128FED3" w14:textId="35897883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46B6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C48A0B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F093FA" w14:textId="75E2FB7B" w:rsidR="00DE6264" w:rsidRPr="00E3607B" w:rsidRDefault="00DE6264" w:rsidP="00DE6264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rtl/>
              </w:rPr>
              <w:t>مفهوم ارتباط و عليت در اپيدميولوژي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69A3D7" w14:textId="4BA7BFE5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F5251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DE6264" w:rsidRPr="00466E92" w14:paraId="4F0445A0" w14:textId="77777777" w:rsidTr="00F36823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CF3137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39FF8AC" w14:textId="23FD4D52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13027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3DBB1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FDCC9" w14:textId="1FD69FD6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غربالگری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25C970" w14:textId="3995AE3D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D8CED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DE6264" w:rsidRPr="00466E92" w14:paraId="4F58359E" w14:textId="77777777" w:rsidTr="00F36823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EFE9AF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BE4C142" w14:textId="61F46389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13027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D6BCFF" w14:textId="77777777" w:rsidR="00DE6264" w:rsidRPr="00E3607B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1D4912" w14:textId="7BDBE9CE" w:rsidR="00DE6264" w:rsidRPr="00E3607B" w:rsidRDefault="00DE6264" w:rsidP="00DE6264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سیستم مراقبت  </w:t>
            </w: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>Surveillance System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89077C" w14:textId="3BD162AE" w:rsidR="00DE6264" w:rsidRPr="006831A2" w:rsidRDefault="00DE6264" w:rsidP="00DE6264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1405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118FC" w14:textId="77777777" w:rsidR="00DE6264" w:rsidRPr="006831A2" w:rsidRDefault="00DE6264" w:rsidP="00DE626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516551" w:rsidRPr="00466E92" w14:paraId="4758BE2C" w14:textId="77777777" w:rsidTr="00516551">
        <w:trPr>
          <w:gridAfter w:val="4"/>
          <w:wAfter w:w="5629" w:type="dxa"/>
          <w:trHeight w:val="186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DBF7A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774CF6" w14:textId="7A85F636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D0688F" w14:textId="054671BC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482512" w14:textId="0EC84854" w:rsidR="00516551" w:rsidRPr="00E3607B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رفع اشکال و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2E566" w14:textId="23C78A46" w:rsidR="00516551" w:rsidRPr="006831A2" w:rsidRDefault="002D6260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17</w:t>
            </w:r>
            <w:r w:rsidR="00516551">
              <w:rPr>
                <w:rFonts w:ascii="Arial" w:eastAsia="Times New Roman" w:hAnsi="Arial" w:cs="B Nazanin" w:hint="cs"/>
                <w:rtl/>
              </w:rPr>
              <w:t>/</w:t>
            </w:r>
            <w:r>
              <w:rPr>
                <w:rFonts w:ascii="Arial" w:eastAsia="Times New Roman" w:hAnsi="Arial" w:cs="B Nazanin" w:hint="cs"/>
                <w:rtl/>
              </w:rPr>
              <w:t>10</w:t>
            </w:r>
            <w:r w:rsidR="00516551"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76D4C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516551" w:rsidRPr="00466E92" w14:paraId="431066D4" w14:textId="77777777" w:rsidTr="00516551">
        <w:trPr>
          <w:gridAfter w:val="4"/>
          <w:wAfter w:w="5629" w:type="dxa"/>
          <w:trHeight w:val="149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84755A" w14:textId="6A870504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96CF98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A6C227" w14:textId="1B8718D8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31409" w14:textId="1178301D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D443C8" w14:textId="26AED0A5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39376F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516551" w:rsidRPr="00466E92" w14:paraId="13D7DA5C" w14:textId="77777777" w:rsidTr="00E3023F">
        <w:trPr>
          <w:trHeight w:val="2295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41F" w14:textId="77777777" w:rsidR="00516551" w:rsidRPr="00E3607B" w:rsidRDefault="00516551" w:rsidP="00516551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14:paraId="781BF2AF" w14:textId="77777777" w:rsidR="00516551" w:rsidRPr="00E3607B" w:rsidRDefault="00516551" w:rsidP="00516551">
            <w:pPr>
              <w:bidi/>
              <w:spacing w:line="240" w:lineRule="auto"/>
              <w:ind w:left="2383" w:hanging="2383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</w:p>
          <w:p w14:paraId="633A1337" w14:textId="77777777" w:rsidR="00516551" w:rsidRPr="00E3607B" w:rsidRDefault="00516551" w:rsidP="00516551">
            <w:pPr>
              <w:bidi/>
              <w:spacing w:line="240" w:lineRule="auto"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  <w:p w14:paraId="460017B2" w14:textId="77777777" w:rsidR="00516551" w:rsidRPr="00E3607B" w:rsidRDefault="00516551" w:rsidP="00516551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0C99E507" w14:textId="77777777" w:rsidR="00516551" w:rsidRPr="00466E92" w:rsidRDefault="00516551" w:rsidP="00516551"/>
        </w:tc>
        <w:tc>
          <w:tcPr>
            <w:tcW w:w="1405" w:type="dxa"/>
          </w:tcPr>
          <w:p w14:paraId="06F3FD76" w14:textId="77777777" w:rsidR="00516551" w:rsidRPr="00466E92" w:rsidRDefault="00516551" w:rsidP="00516551"/>
        </w:tc>
        <w:tc>
          <w:tcPr>
            <w:tcW w:w="1405" w:type="dxa"/>
          </w:tcPr>
          <w:p w14:paraId="594F4905" w14:textId="77777777" w:rsidR="00516551" w:rsidRPr="00466E92" w:rsidRDefault="00516551" w:rsidP="00516551"/>
        </w:tc>
        <w:tc>
          <w:tcPr>
            <w:tcW w:w="1414" w:type="dxa"/>
            <w:vAlign w:val="center"/>
          </w:tcPr>
          <w:p w14:paraId="51B124A6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516551" w:rsidRPr="00466E92" w14:paraId="71D7A276" w14:textId="77777777" w:rsidTr="002D6260">
        <w:trPr>
          <w:gridAfter w:val="4"/>
          <w:wAfter w:w="5629" w:type="dxa"/>
          <w:trHeight w:val="2503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E08" w14:textId="77777777" w:rsidR="00516551" w:rsidRPr="00E3607B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516551" w:rsidRPr="00E3607B" w14:paraId="5519FCED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72519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73B60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D9F21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E72E1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516551" w:rsidRPr="00E3607B" w14:paraId="5B9538A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E5C7A" w14:textId="66FE10CE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EA52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304DC" w14:textId="4A995F31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E6C80" w14:textId="20135776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516551" w:rsidRPr="00E3607B" w14:paraId="308D582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B2375" w14:textId="5BEA29BC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BE93D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FA9AB" w14:textId="2B8E91D2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15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CDD29" w14:textId="31010A69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516551" w:rsidRPr="00E3607B" w14:paraId="7E18AAB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B4CA6" w14:textId="34DC4E48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8418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71EAD" w14:textId="677DE95D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7</w:t>
                  </w:r>
                  <w:r w:rsidR="00516551"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0C0FE" w14:textId="7D48CE44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="002D6260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516551" w:rsidRPr="00E3607B" w14:paraId="7DA5353F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9EB2D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FD5E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E7788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C6A42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45F8B8D5" w14:textId="77777777" w:rsidR="00516551" w:rsidRPr="00E3607B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516551" w:rsidRPr="00466E92" w14:paraId="249AF532" w14:textId="77777777" w:rsidTr="00E3023F">
        <w:trPr>
          <w:gridAfter w:val="4"/>
          <w:wAfter w:w="5629" w:type="dxa"/>
          <w:trHeight w:val="356"/>
        </w:trPr>
        <w:tc>
          <w:tcPr>
            <w:tcW w:w="1105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5F6" w14:textId="52FA5100" w:rsidR="00516551" w:rsidRPr="00E3607B" w:rsidRDefault="002D6260" w:rsidP="005165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Text book of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preventive and social </w:t>
            </w: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medicine,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K. PARK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edition 2011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A30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E3CFBF7" w14:textId="77777777" w:rsidR="00516551" w:rsidRPr="006831A2" w:rsidRDefault="00516551" w:rsidP="00516551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516551" w:rsidRPr="00466E92" w14:paraId="5C31D4C4" w14:textId="77777777" w:rsidTr="00E3023F">
        <w:trPr>
          <w:gridAfter w:val="4"/>
          <w:wAfter w:w="5629" w:type="dxa"/>
          <w:trHeight w:val="37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70F" w14:textId="75DE1D26" w:rsidR="00516551" w:rsidRPr="00DC4FCB" w:rsidRDefault="00516551" w:rsidP="00516551">
            <w:pPr>
              <w:bidi/>
              <w:spacing w:after="0" w:line="240" w:lineRule="auto"/>
              <w:ind w:left="360" w:right="360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جی. ای. پارک، « اصول و روشهای اپیدمیولوژی» ترجمه حسین شجاعی تهرانی</w:t>
            </w:r>
            <w:r w:rsidRPr="00DC4FCB">
              <w:rPr>
                <w:rFonts w:ascii="Tahoma" w:hAnsi="Tahoma" w:cs="B Nazanin"/>
                <w:sz w:val="24"/>
                <w:szCs w:val="24"/>
              </w:rPr>
              <w:t xml:space="preserve">. 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آخرين چاپ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0F6279E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CB30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21B5AB32" w14:textId="77777777" w:rsidTr="00E3023F">
        <w:trPr>
          <w:gridAfter w:val="4"/>
          <w:wAfter w:w="5629" w:type="dxa"/>
          <w:trHeight w:val="261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455B" w14:textId="166C594E" w:rsidR="00516551" w:rsidRPr="00DC4FCB" w:rsidRDefault="00516551" w:rsidP="00516551">
            <w:pPr>
              <w:bidi/>
              <w:spacing w:before="100" w:beforeAutospacing="1" w:after="100" w:afterAutospacing="1" w:line="384" w:lineRule="atLeast"/>
              <w:ind w:left="360"/>
              <w:rPr>
                <w:rFonts w:ascii="Tahoma" w:hAnsi="Tahoma" w:cs="Tahoma"/>
                <w:color w:val="383838"/>
              </w:rPr>
            </w:pPr>
            <w:r>
              <w:rPr>
                <w:rFonts w:ascii="Tahoma" w:hAnsi="Tahoma" w:cs="Tahoma" w:hint="cs"/>
                <w:color w:val="383838"/>
                <w:rtl/>
              </w:rPr>
              <w:t>3-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گوردیس، لئون. اپیدمیولوژی. ترجمه: کوروش هولاکوئی، حسین صباغیان.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چاپ اول، ویرایش سوم، تهران : انتشارات گپ .1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399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.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BDB251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6E8372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72E9D1AD" w14:textId="77777777" w:rsidTr="00DC4FCB">
        <w:trPr>
          <w:gridAfter w:val="4"/>
          <w:wAfter w:w="5629" w:type="dxa"/>
          <w:trHeight w:val="379"/>
        </w:trPr>
        <w:tc>
          <w:tcPr>
            <w:tcW w:w="1105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D87" w14:textId="05EE5CFB" w:rsidR="00516551" w:rsidRPr="00DC4FCB" w:rsidRDefault="00516551" w:rsidP="00516551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384" w:lineRule="atLeast"/>
              <w:rPr>
                <w:rFonts w:ascii="Tahoma" w:hAnsi="Tahoma" w:cs="B Nazanin"/>
              </w:rPr>
            </w:pPr>
            <w:r w:rsidRPr="00DC4FCB">
              <w:rPr>
                <w:rFonts w:ascii="Tahoma" w:hAnsi="Tahoma" w:cs="B Nazanin"/>
                <w:rtl/>
              </w:rPr>
              <w:t>بیگل هول. آر. مبانی اپیدمیولوژی ترجمه دکتر محسن جان قربانی و دکتر مطهره ژیان پور. تهران، وزارت بهداشت، 13</w:t>
            </w:r>
            <w:r w:rsidRPr="00DC4FCB">
              <w:rPr>
                <w:rFonts w:ascii="Tahoma" w:hAnsi="Tahoma" w:cs="B Nazanin" w:hint="cs"/>
                <w:rtl/>
              </w:rPr>
              <w:t>99</w:t>
            </w:r>
            <w:r w:rsidRPr="00DC4FCB">
              <w:rPr>
                <w:rFonts w:ascii="Tahoma" w:hAnsi="Tahoma" w:cs="B Nazanin"/>
                <w:rtl/>
              </w:rPr>
              <w:t xml:space="preserve">.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F02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516D5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0DAC4796" w14:textId="77777777" w:rsidTr="00E3023F">
        <w:trPr>
          <w:gridAfter w:val="4"/>
          <w:wAfter w:w="5629" w:type="dxa"/>
          <w:trHeight w:val="538"/>
        </w:trPr>
        <w:tc>
          <w:tcPr>
            <w:tcW w:w="26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D40F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14:paraId="065D00D2" w14:textId="29BB1EB1" w:rsidR="00516551" w:rsidRDefault="00516551" w:rsidP="00516551">
            <w:pPr>
              <w:bidi/>
              <w:rPr>
                <w:rFonts w:ascii="Arial" w:eastAsia="Times New Roman" w:hAnsi="Arial" w:cs="B Titr"/>
                <w:rtl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2D6260">
              <w:rPr>
                <w:rFonts w:ascii="Arial" w:eastAsia="Times New Roman" w:hAnsi="Arial" w:cs="B Titr" w:hint="cs"/>
                <w:rtl/>
              </w:rPr>
              <w:t>آرمان شهریاری</w:t>
            </w:r>
          </w:p>
          <w:p w14:paraId="38F522B3" w14:textId="77777777" w:rsidR="00516551" w:rsidRPr="006469D3" w:rsidRDefault="00516551" w:rsidP="00516551">
            <w:pPr>
              <w:bidi/>
              <w:rPr>
                <w:rFonts w:ascii="Arial" w:eastAsia="Times New Roman" w:hAnsi="Arial" w:cs="B Titr"/>
              </w:rPr>
            </w:pPr>
          </w:p>
        </w:tc>
        <w:tc>
          <w:tcPr>
            <w:tcW w:w="58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FF86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14:paraId="6B9790FE" w14:textId="2003D12D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>دکتر الهام جهانی فر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4DE5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14:paraId="5D931A23" w14:textId="351AD86D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 </w:t>
            </w: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</w:p>
          <w:p w14:paraId="6F5EA9A6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</w:p>
          <w:p w14:paraId="1D9F2597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D71D510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14:paraId="1307C465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  <w:p w14:paraId="2C061AA7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  <w:p w14:paraId="013948D8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</w:tc>
      </w:tr>
    </w:tbl>
    <w:p w14:paraId="2542F30D" w14:textId="77777777" w:rsidR="006914AF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6914AF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C83"/>
    <w:multiLevelType w:val="hybridMultilevel"/>
    <w:tmpl w:val="FD66DA82"/>
    <w:lvl w:ilvl="0" w:tplc="FBFA30B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7BDD"/>
    <w:multiLevelType w:val="hybridMultilevel"/>
    <w:tmpl w:val="502869DC"/>
    <w:lvl w:ilvl="0" w:tplc="5FAA61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38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6735F"/>
    <w:multiLevelType w:val="hybridMultilevel"/>
    <w:tmpl w:val="5144F616"/>
    <w:lvl w:ilvl="0" w:tplc="55E805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4857">
    <w:abstractNumId w:val="1"/>
  </w:num>
  <w:num w:numId="2" w16cid:durableId="1705055273">
    <w:abstractNumId w:val="4"/>
  </w:num>
  <w:num w:numId="3" w16cid:durableId="1083798162">
    <w:abstractNumId w:val="2"/>
  </w:num>
  <w:num w:numId="4" w16cid:durableId="1865510525">
    <w:abstractNumId w:val="0"/>
  </w:num>
  <w:num w:numId="5" w16cid:durableId="100089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92"/>
    <w:rsid w:val="000176E2"/>
    <w:rsid w:val="000D636D"/>
    <w:rsid w:val="000E2E25"/>
    <w:rsid w:val="00134D2C"/>
    <w:rsid w:val="00265EAF"/>
    <w:rsid w:val="002775C9"/>
    <w:rsid w:val="002C4E4E"/>
    <w:rsid w:val="002D6260"/>
    <w:rsid w:val="003508D1"/>
    <w:rsid w:val="003A6507"/>
    <w:rsid w:val="003E3A75"/>
    <w:rsid w:val="00423F44"/>
    <w:rsid w:val="0044002B"/>
    <w:rsid w:val="004612AF"/>
    <w:rsid w:val="00463914"/>
    <w:rsid w:val="00466E92"/>
    <w:rsid w:val="004A5569"/>
    <w:rsid w:val="004B78B7"/>
    <w:rsid w:val="004D7559"/>
    <w:rsid w:val="00507868"/>
    <w:rsid w:val="00516551"/>
    <w:rsid w:val="00580B10"/>
    <w:rsid w:val="006469D3"/>
    <w:rsid w:val="006831A2"/>
    <w:rsid w:val="006914AF"/>
    <w:rsid w:val="00691A34"/>
    <w:rsid w:val="006C01BE"/>
    <w:rsid w:val="006E0626"/>
    <w:rsid w:val="006E173F"/>
    <w:rsid w:val="00785B40"/>
    <w:rsid w:val="007D3B1A"/>
    <w:rsid w:val="007D766B"/>
    <w:rsid w:val="007F6FE8"/>
    <w:rsid w:val="008333EA"/>
    <w:rsid w:val="0085001B"/>
    <w:rsid w:val="00863AAC"/>
    <w:rsid w:val="00892164"/>
    <w:rsid w:val="008D1995"/>
    <w:rsid w:val="00934D83"/>
    <w:rsid w:val="00974D1A"/>
    <w:rsid w:val="00AB5E21"/>
    <w:rsid w:val="00AF5AAA"/>
    <w:rsid w:val="00AF6807"/>
    <w:rsid w:val="00AF6994"/>
    <w:rsid w:val="00BA1F9D"/>
    <w:rsid w:val="00BD731F"/>
    <w:rsid w:val="00C0112B"/>
    <w:rsid w:val="00C11544"/>
    <w:rsid w:val="00C63643"/>
    <w:rsid w:val="00C83075"/>
    <w:rsid w:val="00CA3C9D"/>
    <w:rsid w:val="00CD6AD4"/>
    <w:rsid w:val="00D62CDC"/>
    <w:rsid w:val="00DC4FCB"/>
    <w:rsid w:val="00DE6264"/>
    <w:rsid w:val="00E229E9"/>
    <w:rsid w:val="00E3023F"/>
    <w:rsid w:val="00E3607B"/>
    <w:rsid w:val="00E5573F"/>
    <w:rsid w:val="00E65E54"/>
    <w:rsid w:val="00E65F22"/>
    <w:rsid w:val="00ED4645"/>
    <w:rsid w:val="00F61EB2"/>
    <w:rsid w:val="00F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1196A4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25CF-9514-4266-93AA-BDDBA9B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NooR</cp:lastModifiedBy>
  <cp:revision>2</cp:revision>
  <cp:lastPrinted>2012-02-15T11:47:00Z</cp:lastPrinted>
  <dcterms:created xsi:type="dcterms:W3CDTF">2026-04-03T22:08:00Z</dcterms:created>
  <dcterms:modified xsi:type="dcterms:W3CDTF">2026-04-03T22:08:00Z</dcterms:modified>
</cp:coreProperties>
</file>